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033AF0" w:rsidRPr="002654B6" w:rsidTr="00BC25D6">
        <w:tc>
          <w:tcPr>
            <w:tcW w:w="9180" w:type="dxa"/>
            <w:gridSpan w:val="4"/>
            <w:shd w:val="clear" w:color="auto" w:fill="auto"/>
          </w:tcPr>
          <w:p w:rsidR="00033AF0" w:rsidRPr="002654B6" w:rsidRDefault="00033AF0" w:rsidP="00BC25D6">
            <w:pPr>
              <w:pStyle w:val="Lijstalinea"/>
              <w:spacing w:after="0" w:line="240" w:lineRule="auto"/>
              <w:ind w:left="0"/>
              <w:rPr>
                <w:b/>
              </w:rPr>
            </w:pPr>
            <w:r w:rsidRPr="002654B6">
              <w:rPr>
                <w:b/>
              </w:rPr>
              <w:t>WERKPROCES     nr. 7.3</w:t>
            </w:r>
          </w:p>
          <w:p w:rsidR="00033AF0" w:rsidRPr="002654B6" w:rsidRDefault="00033AF0" w:rsidP="00BC25D6">
            <w:pPr>
              <w:pStyle w:val="Lijstalinea"/>
              <w:spacing w:after="0" w:line="240" w:lineRule="auto"/>
              <w:ind w:left="0"/>
              <w:rPr>
                <w:b/>
              </w:rPr>
            </w:pPr>
            <w:r w:rsidRPr="002654B6">
              <w:rPr>
                <w:b/>
              </w:rPr>
              <w:t>Factureren - incasso</w:t>
            </w:r>
          </w:p>
        </w:tc>
      </w:tr>
      <w:tr w:rsidR="00033AF0" w:rsidRPr="002654B6" w:rsidTr="00BC25D6">
        <w:tc>
          <w:tcPr>
            <w:tcW w:w="9180" w:type="dxa"/>
            <w:gridSpan w:val="4"/>
            <w:shd w:val="clear" w:color="auto" w:fill="auto"/>
          </w:tcPr>
          <w:p w:rsidR="00033AF0" w:rsidRDefault="00033AF0" w:rsidP="00BC25D6">
            <w:pPr>
              <w:spacing w:after="0" w:line="240" w:lineRule="auto"/>
            </w:pPr>
          </w:p>
          <w:p w:rsidR="00033AF0" w:rsidRDefault="00033AF0" w:rsidP="00BC25D6">
            <w:pPr>
              <w:spacing w:after="0" w:line="240" w:lineRule="auto"/>
            </w:pPr>
            <w:r w:rsidRPr="002654B6">
              <w:t>De betaaltermijnen zijn op de tarievenlijst / heffingsverordening vermeld. Indien een factuur is betaald, wordt een herinnering en vervolgens een aanmaning verzonden. Mocht alsnog niet zijn betaald, dan wordt dit gerapporteerd aan de verantwoordelijke.</w:t>
            </w:r>
          </w:p>
          <w:p w:rsidR="00033AF0" w:rsidRPr="002654B6" w:rsidRDefault="00033AF0" w:rsidP="00BC25D6">
            <w:pPr>
              <w:spacing w:after="0" w:line="240" w:lineRule="auto"/>
            </w:pPr>
          </w:p>
        </w:tc>
      </w:tr>
      <w:tr w:rsidR="00033AF0" w:rsidRPr="002654B6" w:rsidTr="00BC25D6">
        <w:tc>
          <w:tcPr>
            <w:tcW w:w="534" w:type="dxa"/>
            <w:shd w:val="clear" w:color="auto" w:fill="auto"/>
          </w:tcPr>
          <w:p w:rsidR="00033AF0" w:rsidRPr="002654B6" w:rsidRDefault="00033AF0" w:rsidP="00BC25D6">
            <w:pPr>
              <w:pStyle w:val="Lijstalinea"/>
              <w:spacing w:after="0" w:line="240" w:lineRule="auto"/>
              <w:ind w:left="0"/>
              <w:rPr>
                <w:b/>
              </w:rPr>
            </w:pPr>
            <w:r w:rsidRPr="002654B6">
              <w:rPr>
                <w:b/>
              </w:rPr>
              <w:t>nr.</w:t>
            </w:r>
          </w:p>
        </w:tc>
        <w:tc>
          <w:tcPr>
            <w:tcW w:w="1701" w:type="dxa"/>
            <w:shd w:val="clear" w:color="auto" w:fill="auto"/>
          </w:tcPr>
          <w:p w:rsidR="00033AF0" w:rsidRPr="002654B6" w:rsidRDefault="00033AF0" w:rsidP="00BC25D6">
            <w:pPr>
              <w:pStyle w:val="Lijstalinea"/>
              <w:spacing w:after="0" w:line="240" w:lineRule="auto"/>
              <w:ind w:left="0"/>
              <w:rPr>
                <w:b/>
              </w:rPr>
            </w:pPr>
            <w:r w:rsidRPr="002654B6">
              <w:rPr>
                <w:b/>
              </w:rPr>
              <w:t>activiteit</w:t>
            </w:r>
          </w:p>
        </w:tc>
        <w:tc>
          <w:tcPr>
            <w:tcW w:w="1417" w:type="dxa"/>
            <w:shd w:val="clear" w:color="auto" w:fill="auto"/>
          </w:tcPr>
          <w:p w:rsidR="00033AF0" w:rsidRPr="002654B6" w:rsidRDefault="00033AF0" w:rsidP="00BC25D6">
            <w:pPr>
              <w:pStyle w:val="Lijstalinea"/>
              <w:spacing w:after="0" w:line="240" w:lineRule="auto"/>
              <w:ind w:left="0"/>
              <w:rPr>
                <w:b/>
              </w:rPr>
            </w:pPr>
            <w:r w:rsidRPr="002654B6">
              <w:rPr>
                <w:b/>
              </w:rPr>
              <w:t>functie / rol</w:t>
            </w:r>
          </w:p>
        </w:tc>
        <w:tc>
          <w:tcPr>
            <w:tcW w:w="5528" w:type="dxa"/>
            <w:shd w:val="clear" w:color="auto" w:fill="auto"/>
          </w:tcPr>
          <w:p w:rsidR="00033AF0" w:rsidRPr="002654B6" w:rsidRDefault="00033AF0" w:rsidP="00BC25D6">
            <w:pPr>
              <w:pStyle w:val="Lijstalinea"/>
              <w:spacing w:after="0" w:line="240" w:lineRule="auto"/>
              <w:ind w:left="0"/>
              <w:rPr>
                <w:b/>
              </w:rPr>
            </w:pPr>
            <w:r w:rsidRPr="002654B6">
              <w:rPr>
                <w:b/>
              </w:rPr>
              <w:t>omschrijving</w:t>
            </w:r>
          </w:p>
        </w:tc>
      </w:tr>
      <w:tr w:rsidR="00033AF0" w:rsidRPr="002654B6" w:rsidTr="00BC25D6">
        <w:tc>
          <w:tcPr>
            <w:tcW w:w="534" w:type="dxa"/>
            <w:shd w:val="clear" w:color="auto" w:fill="auto"/>
          </w:tcPr>
          <w:p w:rsidR="00033AF0" w:rsidRPr="002654B6" w:rsidRDefault="00033AF0" w:rsidP="00BC25D6">
            <w:pPr>
              <w:pStyle w:val="Lijstalinea"/>
              <w:spacing w:after="0" w:line="240" w:lineRule="auto"/>
              <w:ind w:left="0"/>
              <w:jc w:val="center"/>
              <w:rPr>
                <w:b/>
              </w:rPr>
            </w:pPr>
            <w:r w:rsidRPr="002654B6">
              <w:rPr>
                <w:b/>
              </w:rPr>
              <w:t>1</w:t>
            </w:r>
          </w:p>
        </w:tc>
        <w:tc>
          <w:tcPr>
            <w:tcW w:w="1701" w:type="dxa"/>
            <w:shd w:val="clear" w:color="auto" w:fill="auto"/>
          </w:tcPr>
          <w:p w:rsidR="00033AF0" w:rsidRPr="002654B6" w:rsidRDefault="00033AF0" w:rsidP="00BC25D6">
            <w:pPr>
              <w:pStyle w:val="Lijstalinea"/>
              <w:spacing w:after="0" w:line="240" w:lineRule="auto"/>
              <w:ind w:left="0"/>
            </w:pPr>
            <w:r w:rsidRPr="002654B6">
              <w:t>herinnering</w:t>
            </w:r>
          </w:p>
        </w:tc>
        <w:tc>
          <w:tcPr>
            <w:tcW w:w="1417" w:type="dxa"/>
            <w:shd w:val="clear" w:color="auto" w:fill="auto"/>
          </w:tcPr>
          <w:p w:rsidR="00033AF0" w:rsidRPr="002654B6" w:rsidRDefault="00033AF0" w:rsidP="00BC25D6">
            <w:pPr>
              <w:pStyle w:val="Lijstalinea"/>
              <w:spacing w:after="0" w:line="240" w:lineRule="auto"/>
              <w:ind w:left="0"/>
            </w:pPr>
            <w:r w:rsidRPr="002654B6">
              <w:t>administratie</w:t>
            </w:r>
          </w:p>
        </w:tc>
        <w:tc>
          <w:tcPr>
            <w:tcW w:w="5528" w:type="dxa"/>
            <w:shd w:val="clear" w:color="auto" w:fill="auto"/>
          </w:tcPr>
          <w:p w:rsidR="00033AF0" w:rsidRPr="002654B6" w:rsidRDefault="00033AF0" w:rsidP="00BC25D6">
            <w:pPr>
              <w:spacing w:after="0" w:line="240" w:lineRule="auto"/>
            </w:pPr>
            <w:r w:rsidRPr="002654B6">
              <w:t>Binnen vier weken na de vervaldatum van de factuur wordt een herinnering gestuurd naar niet tijdig betalende geadresseerden. Vermeld wordt dat bij latere betaling incassokosten in rekening worden gebracht.</w:t>
            </w:r>
          </w:p>
        </w:tc>
      </w:tr>
      <w:tr w:rsidR="00033AF0" w:rsidRPr="002654B6" w:rsidTr="00BC25D6">
        <w:tc>
          <w:tcPr>
            <w:tcW w:w="534" w:type="dxa"/>
            <w:shd w:val="clear" w:color="auto" w:fill="auto"/>
          </w:tcPr>
          <w:p w:rsidR="00033AF0" w:rsidRPr="002654B6" w:rsidRDefault="00033AF0" w:rsidP="00BC25D6">
            <w:pPr>
              <w:pStyle w:val="Lijstalinea"/>
              <w:spacing w:after="0" w:line="240" w:lineRule="auto"/>
              <w:ind w:left="0"/>
              <w:jc w:val="center"/>
              <w:rPr>
                <w:b/>
              </w:rPr>
            </w:pPr>
            <w:r w:rsidRPr="002654B6">
              <w:rPr>
                <w:b/>
              </w:rPr>
              <w:t>2</w:t>
            </w:r>
          </w:p>
        </w:tc>
        <w:tc>
          <w:tcPr>
            <w:tcW w:w="1701" w:type="dxa"/>
            <w:shd w:val="clear" w:color="auto" w:fill="auto"/>
          </w:tcPr>
          <w:p w:rsidR="00033AF0" w:rsidRPr="002654B6" w:rsidRDefault="00033AF0" w:rsidP="00BC25D6">
            <w:pPr>
              <w:pStyle w:val="Lijstalinea"/>
              <w:spacing w:after="0" w:line="240" w:lineRule="auto"/>
              <w:ind w:left="0"/>
            </w:pPr>
            <w:r w:rsidRPr="002654B6">
              <w:t>aanmaning</w:t>
            </w:r>
          </w:p>
        </w:tc>
        <w:tc>
          <w:tcPr>
            <w:tcW w:w="1417" w:type="dxa"/>
            <w:shd w:val="clear" w:color="auto" w:fill="auto"/>
          </w:tcPr>
          <w:p w:rsidR="00033AF0" w:rsidRPr="002654B6" w:rsidRDefault="00033AF0" w:rsidP="00BC25D6">
            <w:pPr>
              <w:pStyle w:val="Lijstalinea"/>
              <w:spacing w:after="0" w:line="240" w:lineRule="auto"/>
              <w:ind w:left="0"/>
            </w:pPr>
            <w:r w:rsidRPr="002654B6">
              <w:t>administratie</w:t>
            </w:r>
          </w:p>
        </w:tc>
        <w:tc>
          <w:tcPr>
            <w:tcW w:w="5528" w:type="dxa"/>
            <w:shd w:val="clear" w:color="auto" w:fill="auto"/>
          </w:tcPr>
          <w:p w:rsidR="00033AF0" w:rsidRPr="002654B6" w:rsidRDefault="00033AF0" w:rsidP="00BC25D6">
            <w:pPr>
              <w:spacing w:after="0" w:line="240" w:lineRule="auto"/>
            </w:pPr>
            <w:r w:rsidRPr="002654B6">
              <w:t>Vier weken na de herinneringsbrief wordt aan de overgebleven niet tijdig betalende geadresseerden een incasso gestuurd. Deze aanmaning wordt aangetekend verzonden. Er kan conform de Kostenwet (art. 2) een extra vast bedrag in rekening worden gebracht. Daarnaast kan invorderingsrente worden geheven.</w:t>
            </w:r>
          </w:p>
          <w:p w:rsidR="00033AF0" w:rsidRPr="002654B6" w:rsidRDefault="00033AF0" w:rsidP="00BC25D6">
            <w:pPr>
              <w:spacing w:after="0" w:line="240" w:lineRule="auto"/>
            </w:pPr>
            <w:r w:rsidRPr="002654B6">
              <w:t xml:space="preserve">In de aanmaning staat wat de consequenties van niet-betalen zijn: </w:t>
            </w:r>
          </w:p>
          <w:p w:rsidR="00033AF0" w:rsidRPr="002654B6" w:rsidRDefault="00033AF0" w:rsidP="00033AF0">
            <w:pPr>
              <w:pStyle w:val="Lijstalinea"/>
              <w:numPr>
                <w:ilvl w:val="0"/>
                <w:numId w:val="1"/>
              </w:numPr>
              <w:spacing w:after="0" w:line="240" w:lineRule="auto"/>
            </w:pPr>
            <w:r w:rsidRPr="002654B6">
              <w:t xml:space="preserve">voor grafrechten en onderhoudsrechten: zie </w:t>
            </w:r>
            <w:r w:rsidRPr="002654B6">
              <w:sym w:font="Wingdings" w:char="F0E0"/>
            </w:r>
            <w:r w:rsidRPr="002654B6">
              <w:t xml:space="preserve"> </w:t>
            </w:r>
            <w:proofErr w:type="spellStart"/>
            <w:r w:rsidRPr="002654B6">
              <w:rPr>
                <w:b/>
                <w:i/>
                <w:u w:val="single"/>
              </w:rPr>
              <w:t>werkprocesnr</w:t>
            </w:r>
            <w:proofErr w:type="spellEnd"/>
            <w:r w:rsidRPr="002654B6">
              <w:rPr>
                <w:b/>
                <w:i/>
                <w:u w:val="single"/>
              </w:rPr>
              <w:t>. 5.3</w:t>
            </w:r>
          </w:p>
          <w:p w:rsidR="00033AF0" w:rsidRPr="002654B6" w:rsidRDefault="00033AF0" w:rsidP="00033AF0">
            <w:pPr>
              <w:pStyle w:val="Lijstalinea"/>
              <w:numPr>
                <w:ilvl w:val="0"/>
                <w:numId w:val="1"/>
              </w:numPr>
              <w:spacing w:after="0" w:line="240" w:lineRule="auto"/>
            </w:pPr>
            <w:r w:rsidRPr="002654B6">
              <w:t>voor alle asbestemmingen: de kosten vooraf berekenen en opdracht pas uitvoeren nadat de betaling binnen is</w:t>
            </w:r>
          </w:p>
          <w:p w:rsidR="00033AF0" w:rsidRPr="002654B6" w:rsidRDefault="00033AF0" w:rsidP="00033AF0">
            <w:pPr>
              <w:pStyle w:val="Lijstalinea"/>
              <w:numPr>
                <w:ilvl w:val="0"/>
                <w:numId w:val="1"/>
              </w:numPr>
              <w:spacing w:after="0" w:line="240" w:lineRule="auto"/>
            </w:pPr>
            <w:r w:rsidRPr="002654B6">
              <w:t>opgraven / herbegraven: kosten vooraf berekenen en opdracht pas inplannen nadat de betaling binnen is</w:t>
            </w:r>
          </w:p>
          <w:p w:rsidR="00033AF0" w:rsidRPr="002654B6" w:rsidRDefault="00033AF0" w:rsidP="00033AF0">
            <w:pPr>
              <w:pStyle w:val="Lijstalinea"/>
              <w:numPr>
                <w:ilvl w:val="0"/>
                <w:numId w:val="1"/>
              </w:numPr>
              <w:spacing w:after="0" w:line="240" w:lineRule="auto"/>
            </w:pPr>
            <w:r w:rsidRPr="002654B6">
              <w:t xml:space="preserve">overschrijvingskosten grafrechten: </w:t>
            </w:r>
            <w:r w:rsidRPr="002654B6">
              <w:sym w:font="Wingdings" w:char="F0E0"/>
            </w:r>
            <w:r w:rsidRPr="002654B6">
              <w:t xml:space="preserve"> </w:t>
            </w:r>
            <w:proofErr w:type="spellStart"/>
            <w:r w:rsidRPr="002654B6">
              <w:rPr>
                <w:b/>
                <w:i/>
                <w:u w:val="single"/>
              </w:rPr>
              <w:t>werkprocesnr</w:t>
            </w:r>
            <w:proofErr w:type="spellEnd"/>
            <w:r w:rsidRPr="002654B6">
              <w:rPr>
                <w:b/>
                <w:i/>
                <w:u w:val="single"/>
              </w:rPr>
              <w:t>. 5.3</w:t>
            </w:r>
          </w:p>
          <w:p w:rsidR="00033AF0" w:rsidRPr="002654B6" w:rsidRDefault="00033AF0" w:rsidP="00033AF0">
            <w:pPr>
              <w:pStyle w:val="Lijstalinea"/>
              <w:numPr>
                <w:ilvl w:val="0"/>
                <w:numId w:val="1"/>
              </w:numPr>
              <w:spacing w:after="0" w:line="240" w:lineRule="auto"/>
            </w:pPr>
            <w:r w:rsidRPr="002654B6">
              <w:t>eenmalige kleine opdrachten: vooraf offerte sturen en laten ondertekenen voor akkoord. Daarna pas uitvoeren</w:t>
            </w:r>
          </w:p>
          <w:p w:rsidR="00033AF0" w:rsidRPr="002654B6" w:rsidRDefault="00033AF0" w:rsidP="00033AF0">
            <w:pPr>
              <w:pStyle w:val="Lijstalinea"/>
              <w:numPr>
                <w:ilvl w:val="0"/>
                <w:numId w:val="1"/>
              </w:numPr>
              <w:spacing w:after="0" w:line="240" w:lineRule="auto"/>
            </w:pPr>
            <w:r w:rsidRPr="002654B6">
              <w:t xml:space="preserve">grafbedekking / </w:t>
            </w:r>
            <w:proofErr w:type="spellStart"/>
            <w:r w:rsidRPr="002654B6">
              <w:t>steenhouwwerk</w:t>
            </w:r>
            <w:proofErr w:type="spellEnd"/>
            <w:r w:rsidRPr="002654B6">
              <w:t xml:space="preserve">: zie </w:t>
            </w:r>
            <w:r w:rsidRPr="002654B6">
              <w:sym w:font="Wingdings" w:char="F0E0"/>
            </w:r>
            <w:r w:rsidRPr="002654B6">
              <w:t xml:space="preserve"> </w:t>
            </w:r>
            <w:proofErr w:type="spellStart"/>
            <w:r w:rsidRPr="002654B6">
              <w:rPr>
                <w:b/>
                <w:i/>
                <w:u w:val="single"/>
              </w:rPr>
              <w:t>werkprocesnr</w:t>
            </w:r>
            <w:proofErr w:type="spellEnd"/>
            <w:r w:rsidRPr="002654B6">
              <w:rPr>
                <w:b/>
                <w:i/>
                <w:u w:val="single"/>
              </w:rPr>
              <w:t xml:space="preserve">. 5.3 </w:t>
            </w:r>
            <w:r w:rsidRPr="002654B6">
              <w:t xml:space="preserve"> </w:t>
            </w:r>
          </w:p>
        </w:tc>
      </w:tr>
      <w:tr w:rsidR="00033AF0" w:rsidRPr="002654B6" w:rsidTr="00BC25D6">
        <w:tc>
          <w:tcPr>
            <w:tcW w:w="534" w:type="dxa"/>
            <w:shd w:val="clear" w:color="auto" w:fill="auto"/>
          </w:tcPr>
          <w:p w:rsidR="00033AF0" w:rsidRPr="002654B6" w:rsidRDefault="00033AF0" w:rsidP="00BC25D6">
            <w:pPr>
              <w:pStyle w:val="Lijstalinea"/>
              <w:spacing w:after="0" w:line="240" w:lineRule="auto"/>
              <w:ind w:left="0"/>
              <w:jc w:val="center"/>
              <w:rPr>
                <w:b/>
              </w:rPr>
            </w:pPr>
            <w:r w:rsidRPr="002654B6">
              <w:rPr>
                <w:b/>
              </w:rPr>
              <w:t>3</w:t>
            </w:r>
          </w:p>
        </w:tc>
        <w:tc>
          <w:tcPr>
            <w:tcW w:w="1701" w:type="dxa"/>
            <w:shd w:val="clear" w:color="auto" w:fill="auto"/>
          </w:tcPr>
          <w:p w:rsidR="00033AF0" w:rsidRPr="002654B6" w:rsidRDefault="00033AF0" w:rsidP="00BC25D6">
            <w:pPr>
              <w:pStyle w:val="Lijstalinea"/>
              <w:spacing w:after="0" w:line="240" w:lineRule="auto"/>
              <w:ind w:left="0"/>
            </w:pPr>
            <w:r w:rsidRPr="002654B6">
              <w:t>uitstel van betaling</w:t>
            </w:r>
          </w:p>
        </w:tc>
        <w:tc>
          <w:tcPr>
            <w:tcW w:w="1417" w:type="dxa"/>
            <w:shd w:val="clear" w:color="auto" w:fill="auto"/>
          </w:tcPr>
          <w:p w:rsidR="00033AF0" w:rsidRPr="002654B6" w:rsidRDefault="00033AF0" w:rsidP="00BC25D6">
            <w:pPr>
              <w:pStyle w:val="Lijstalinea"/>
              <w:spacing w:after="0" w:line="240" w:lineRule="auto"/>
              <w:ind w:left="0"/>
            </w:pPr>
            <w:r w:rsidRPr="002654B6">
              <w:t>administratie</w:t>
            </w:r>
          </w:p>
        </w:tc>
        <w:tc>
          <w:tcPr>
            <w:tcW w:w="5528" w:type="dxa"/>
            <w:shd w:val="clear" w:color="auto" w:fill="auto"/>
          </w:tcPr>
          <w:p w:rsidR="00033AF0" w:rsidRPr="002654B6" w:rsidRDefault="00033AF0" w:rsidP="00BC25D6">
            <w:pPr>
              <w:spacing w:after="0" w:line="240" w:lineRule="auto"/>
            </w:pPr>
            <w:r w:rsidRPr="002654B6">
              <w:t>Een uitstel van betaling kan op verzoek worden gegeven door de verantwoordelijke in bijzondere situaties. De aanvrager wordt hierover schriftelijk op de hoogte gesteld van de regeling.</w:t>
            </w:r>
          </w:p>
        </w:tc>
      </w:tr>
      <w:tr w:rsidR="00033AF0" w:rsidRPr="002654B6" w:rsidTr="00BC25D6">
        <w:tc>
          <w:tcPr>
            <w:tcW w:w="534" w:type="dxa"/>
            <w:shd w:val="clear" w:color="auto" w:fill="auto"/>
          </w:tcPr>
          <w:p w:rsidR="00033AF0" w:rsidRPr="002654B6" w:rsidRDefault="00033AF0" w:rsidP="00BC25D6">
            <w:pPr>
              <w:pStyle w:val="Lijstalinea"/>
              <w:spacing w:after="0" w:line="240" w:lineRule="auto"/>
              <w:ind w:left="0"/>
              <w:jc w:val="center"/>
              <w:rPr>
                <w:b/>
              </w:rPr>
            </w:pPr>
            <w:r w:rsidRPr="002654B6">
              <w:rPr>
                <w:b/>
              </w:rPr>
              <w:t>4</w:t>
            </w:r>
          </w:p>
        </w:tc>
        <w:tc>
          <w:tcPr>
            <w:tcW w:w="1701" w:type="dxa"/>
            <w:shd w:val="clear" w:color="auto" w:fill="auto"/>
          </w:tcPr>
          <w:p w:rsidR="00033AF0" w:rsidRPr="002654B6" w:rsidRDefault="00033AF0" w:rsidP="00BC25D6">
            <w:pPr>
              <w:pStyle w:val="Lijstalinea"/>
              <w:spacing w:after="0" w:line="240" w:lineRule="auto"/>
              <w:ind w:left="0"/>
            </w:pPr>
            <w:r w:rsidRPr="002654B6">
              <w:t>rapportage</w:t>
            </w:r>
          </w:p>
        </w:tc>
        <w:tc>
          <w:tcPr>
            <w:tcW w:w="1417" w:type="dxa"/>
            <w:shd w:val="clear" w:color="auto" w:fill="auto"/>
          </w:tcPr>
          <w:p w:rsidR="00033AF0" w:rsidRPr="002654B6" w:rsidRDefault="00033AF0" w:rsidP="00BC25D6">
            <w:pPr>
              <w:pStyle w:val="Lijstalinea"/>
              <w:spacing w:after="0" w:line="240" w:lineRule="auto"/>
              <w:ind w:left="0"/>
            </w:pPr>
            <w:r w:rsidRPr="002654B6">
              <w:t>administratie</w:t>
            </w:r>
          </w:p>
        </w:tc>
        <w:tc>
          <w:tcPr>
            <w:tcW w:w="5528" w:type="dxa"/>
            <w:shd w:val="clear" w:color="auto" w:fill="auto"/>
          </w:tcPr>
          <w:p w:rsidR="00033AF0" w:rsidRPr="002654B6" w:rsidRDefault="00033AF0" w:rsidP="00BC25D6">
            <w:pPr>
              <w:pStyle w:val="Lijstalinea"/>
              <w:spacing w:after="0" w:line="240" w:lineRule="auto"/>
              <w:ind w:left="0"/>
            </w:pPr>
            <w:r w:rsidRPr="002654B6">
              <w:t xml:space="preserve">Vier maal per jaar wordt een uitdraai gemaakt uit ´automatisering´ van de niet </w:t>
            </w:r>
            <w:proofErr w:type="spellStart"/>
            <w:r w:rsidRPr="002654B6">
              <w:t>betalenden</w:t>
            </w:r>
            <w:proofErr w:type="spellEnd"/>
            <w:r w:rsidRPr="002654B6">
              <w:t xml:space="preserve">. </w:t>
            </w:r>
          </w:p>
          <w:p w:rsidR="00033AF0" w:rsidRPr="002654B6" w:rsidRDefault="00033AF0" w:rsidP="00BC25D6">
            <w:pPr>
              <w:pStyle w:val="Lijstalinea"/>
              <w:spacing w:after="0" w:line="240" w:lineRule="auto"/>
              <w:ind w:left="0"/>
              <w:rPr>
                <w:b/>
                <w:i/>
                <w:u w:val="single"/>
              </w:rPr>
            </w:pPr>
            <w:r w:rsidRPr="002654B6">
              <w:t xml:space="preserve">Bij het retour komen van de rekeningen, wordt een </w:t>
            </w:r>
            <w:r w:rsidRPr="002654B6">
              <w:rPr>
                <w:b/>
              </w:rPr>
              <w:t>uittreksel bevolkingsregister</w:t>
            </w:r>
            <w:r w:rsidRPr="002654B6">
              <w:t xml:space="preserve"> aangevraagd. </w:t>
            </w:r>
            <w:r w:rsidRPr="002654B6">
              <w:sym w:font="Wingdings" w:char="F0E0"/>
            </w:r>
            <w:r w:rsidRPr="002654B6">
              <w:t xml:space="preserve"> </w:t>
            </w:r>
            <w:proofErr w:type="spellStart"/>
            <w:r w:rsidRPr="002654B6">
              <w:rPr>
                <w:b/>
                <w:i/>
                <w:u w:val="single"/>
              </w:rPr>
              <w:t>werkprocesnr</w:t>
            </w:r>
            <w:proofErr w:type="spellEnd"/>
            <w:r w:rsidRPr="002654B6">
              <w:rPr>
                <w:b/>
                <w:i/>
                <w:u w:val="single"/>
              </w:rPr>
              <w:t>. 5.5</w:t>
            </w:r>
          </w:p>
          <w:p w:rsidR="00033AF0" w:rsidRPr="002654B6" w:rsidRDefault="00033AF0" w:rsidP="00BC25D6">
            <w:pPr>
              <w:pStyle w:val="Lijstalinea"/>
              <w:spacing w:after="0" w:line="240" w:lineRule="auto"/>
              <w:ind w:left="0"/>
            </w:pPr>
            <w:r w:rsidRPr="002654B6">
              <w:t xml:space="preserve">De lijst met overgebleven </w:t>
            </w:r>
            <w:proofErr w:type="spellStart"/>
            <w:r w:rsidRPr="002654B6">
              <w:t>niet-betalenden</w:t>
            </w:r>
            <w:proofErr w:type="spellEnd"/>
            <w:r w:rsidRPr="002654B6">
              <w:t xml:space="preserve"> wordt voorgelegd aan ´verantwoordelijke´.</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9E" w:rsidRDefault="00EE549E" w:rsidP="00033AF0">
      <w:pPr>
        <w:spacing w:after="0" w:line="240" w:lineRule="auto"/>
      </w:pPr>
      <w:r>
        <w:separator/>
      </w:r>
    </w:p>
  </w:endnote>
  <w:endnote w:type="continuationSeparator" w:id="0">
    <w:p w:rsidR="00EE549E" w:rsidRDefault="00EE549E" w:rsidP="00033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9E" w:rsidRDefault="00EE549E" w:rsidP="00033AF0">
      <w:pPr>
        <w:spacing w:after="0" w:line="240" w:lineRule="auto"/>
      </w:pPr>
      <w:r>
        <w:separator/>
      </w:r>
    </w:p>
  </w:footnote>
  <w:footnote w:type="continuationSeparator" w:id="0">
    <w:p w:rsidR="00EE549E" w:rsidRDefault="00EE549E" w:rsidP="00033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033AF0">
      <w:tc>
        <w:tcPr>
          <w:tcW w:w="0" w:type="auto"/>
          <w:tcBorders>
            <w:right w:val="single" w:sz="6" w:space="0" w:color="000000" w:themeColor="text1"/>
          </w:tcBorders>
        </w:tcPr>
        <w:sdt>
          <w:sdtPr>
            <w:alias w:val="Bedrijf"/>
            <w:id w:val="78735422"/>
            <w:placeholder>
              <w:docPart w:val="EE5602E9771642099A22B496922B7967"/>
            </w:placeholder>
            <w:dataBinding w:prefixMappings="xmlns:ns0='http://schemas.openxmlformats.org/officeDocument/2006/extended-properties'" w:xpath="/ns0:Properties[1]/ns0:Company[1]" w:storeItemID="{6668398D-A668-4E3E-A5EB-62B293D839F1}"/>
            <w:text/>
          </w:sdtPr>
          <w:sdtContent>
            <w:p w:rsidR="00033AF0" w:rsidRDefault="00033AF0">
              <w:pPr>
                <w:pStyle w:val="Koptekst"/>
                <w:jc w:val="right"/>
              </w:pPr>
              <w:r>
                <w:t>wp7.3.0_rev00_nov13</w:t>
              </w:r>
            </w:p>
          </w:sdtContent>
        </w:sdt>
        <w:sdt>
          <w:sdtPr>
            <w:rPr>
              <w:b/>
              <w:bCs/>
            </w:rPr>
            <w:alias w:val="Titel"/>
            <w:id w:val="78735415"/>
            <w:placeholder>
              <w:docPart w:val="DCA659EA307945C3BE4C0F9FE0BD3BBF"/>
            </w:placeholder>
            <w:dataBinding w:prefixMappings="xmlns:ns0='http://schemas.openxmlformats.org/package/2006/metadata/core-properties' xmlns:ns1='http://purl.org/dc/elements/1.1/'" w:xpath="/ns0:coreProperties[1]/ns1:title[1]" w:storeItemID="{6C3C8BC8-F283-45AE-878A-BAB7291924A1}"/>
            <w:text/>
          </w:sdtPr>
          <w:sdtContent>
            <w:p w:rsidR="00033AF0" w:rsidRDefault="00033AF0" w:rsidP="00033AF0">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033AF0" w:rsidRDefault="00033AF0">
          <w:pPr>
            <w:pStyle w:val="Koptekst"/>
            <w:rPr>
              <w:b/>
            </w:rPr>
          </w:pPr>
          <w:fldSimple w:instr=" PAGE   \* MERGEFORMAT ">
            <w:r>
              <w:rPr>
                <w:noProof/>
              </w:rPr>
              <w:t>1</w:t>
            </w:r>
          </w:fldSimple>
        </w:p>
      </w:tc>
    </w:tr>
  </w:tbl>
  <w:p w:rsidR="00033AF0" w:rsidRDefault="00033AF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9439A"/>
    <w:multiLevelType w:val="hybridMultilevel"/>
    <w:tmpl w:val="4CD61172"/>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3AF0"/>
    <w:rsid w:val="00033AF0"/>
    <w:rsid w:val="001578E0"/>
    <w:rsid w:val="003E7AFF"/>
    <w:rsid w:val="00410349"/>
    <w:rsid w:val="00C46AD6"/>
    <w:rsid w:val="00E86F38"/>
    <w:rsid w:val="00EE549E"/>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3AF0"/>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AF0"/>
    <w:pPr>
      <w:ind w:left="720"/>
      <w:contextualSpacing/>
    </w:pPr>
  </w:style>
  <w:style w:type="paragraph" w:styleId="Koptekst">
    <w:name w:val="header"/>
    <w:basedOn w:val="Standaard"/>
    <w:link w:val="KoptekstChar"/>
    <w:uiPriority w:val="99"/>
    <w:unhideWhenUsed/>
    <w:rsid w:val="00033A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3AF0"/>
    <w:rPr>
      <w:rFonts w:ascii="Calibri" w:eastAsia="Calibri" w:hAnsi="Calibri" w:cs="Times New Roman"/>
    </w:rPr>
  </w:style>
  <w:style w:type="paragraph" w:styleId="Voettekst">
    <w:name w:val="footer"/>
    <w:basedOn w:val="Standaard"/>
    <w:link w:val="VoettekstChar"/>
    <w:uiPriority w:val="99"/>
    <w:semiHidden/>
    <w:unhideWhenUsed/>
    <w:rsid w:val="00033A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3AF0"/>
    <w:rPr>
      <w:rFonts w:ascii="Calibri" w:eastAsia="Calibri" w:hAnsi="Calibri" w:cs="Times New Roman"/>
    </w:rPr>
  </w:style>
  <w:style w:type="table" w:styleId="Tabelraster">
    <w:name w:val="Table Grid"/>
    <w:basedOn w:val="Standaardtabel"/>
    <w:uiPriority w:val="1"/>
    <w:rsid w:val="00033AF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033A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3A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5602E9771642099A22B496922B7967"/>
        <w:category>
          <w:name w:val="Algemeen"/>
          <w:gallery w:val="placeholder"/>
        </w:category>
        <w:types>
          <w:type w:val="bbPlcHdr"/>
        </w:types>
        <w:behaviors>
          <w:behavior w:val="content"/>
        </w:behaviors>
        <w:guid w:val="{28ACD522-6BB9-4AC6-94E6-ABD6B92F5732}"/>
      </w:docPartPr>
      <w:docPartBody>
        <w:p w:rsidR="00000000" w:rsidRDefault="00DC3592" w:rsidP="00DC3592">
          <w:pPr>
            <w:pStyle w:val="EE5602E9771642099A22B496922B7967"/>
          </w:pPr>
          <w:r>
            <w:t>[Geef de naam van het bedrijf op]</w:t>
          </w:r>
        </w:p>
      </w:docPartBody>
    </w:docPart>
    <w:docPart>
      <w:docPartPr>
        <w:name w:val="DCA659EA307945C3BE4C0F9FE0BD3BBF"/>
        <w:category>
          <w:name w:val="Algemeen"/>
          <w:gallery w:val="placeholder"/>
        </w:category>
        <w:types>
          <w:type w:val="bbPlcHdr"/>
        </w:types>
        <w:behaviors>
          <w:behavior w:val="content"/>
        </w:behaviors>
        <w:guid w:val="{31B024A3-D5C4-41C9-A32A-8EB2E0D4BB2D}"/>
      </w:docPartPr>
      <w:docPartBody>
        <w:p w:rsidR="00000000" w:rsidRDefault="00DC3592" w:rsidP="00DC3592">
          <w:pPr>
            <w:pStyle w:val="DCA659EA307945C3BE4C0F9FE0BD3BBF"/>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C3592"/>
    <w:rsid w:val="00A525C3"/>
    <w:rsid w:val="00DC35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E5602E9771642099A22B496922B7967">
    <w:name w:val="EE5602E9771642099A22B496922B7967"/>
    <w:rsid w:val="00DC3592"/>
  </w:style>
  <w:style w:type="paragraph" w:customStyle="1" w:styleId="DCA659EA307945C3BE4C0F9FE0BD3BBF">
    <w:name w:val="DCA659EA307945C3BE4C0F9FE0BD3BBF"/>
    <w:rsid w:val="00DC35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1698</Characters>
  <Application>Microsoft Office Word</Application>
  <DocSecurity>0</DocSecurity>
  <Lines>14</Lines>
  <Paragraphs>4</Paragraphs>
  <ScaleCrop>false</ScaleCrop>
  <Company>wp7.3.0_rev00_nov13</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2013-10-24T14:33:00Z</dcterms:created>
  <dcterms:modified xsi:type="dcterms:W3CDTF">2013-10-24T14:34:00Z</dcterms:modified>
</cp:coreProperties>
</file>